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[I128-1794] RFID-настройки для меток изданий и читательских карточек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2b25a9a2abcae6618c821274aa615c07468e62"/>
    <w:p>
      <w:pPr>
        <w:pStyle w:val="Heading1"/>
      </w:pPr>
      <w:r>
        <w:t xml:space="preserve">[I128-1794] RFID-настройки для меток изданий и читательских карточек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о разделении RFID-оборудования для чтения меток изданий и читательских карточек.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Bookland/Interface/RFID</w:t>
      </w:r>
      <w:r>
        <w:t xml:space="preserve"> </w:t>
      </w:r>
      <w:r>
        <w:t xml:space="preserve">- уточнено поведение панели при считывании читательской карточки.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АРМ «Книговыдача» описано, как связаны настройки профиля книговыдачи и серверные параметры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 </w:t>
      </w:r>
      <w:r>
        <w:t xml:space="preserve">для RFID-оборудования. Добавлено описание отдельных параметров чтения читательских карточек</w:t>
      </w:r>
      <w:r>
        <w:t xml:space="preserve"> </w:t>
      </w:r>
      <w:r>
        <w:rPr>
          <w:rStyle w:val="VerbatimChar"/>
        </w:rPr>
        <w:t xml:space="preserve">RFIDTYPE*READER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RFID*RST*JSON*HOST*READER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RFID*RST*JSON*PORT_READER</w:t>
      </w:r>
      <w:r>
        <w:t xml:space="preserve"> </w:t>
      </w:r>
      <w:r>
        <w:t xml:space="preserve">и правила использования настроек чтения книг, если отдельные параметры карточек не заданы.</w:t>
      </w:r>
    </w:p>
    <w:p>
      <w:pPr>
        <w:pStyle w:val="BodyText"/>
      </w:pPr>
      <w:r>
        <w:t xml:space="preserve">В пользовательском разделе панели RFID указано, что считанная метка читательской карточки используется для установки текущего читателя.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7"/>
    <w:p>
      <w:pPr>
        <w:pStyle w:val="Heading3"/>
      </w:pPr>
      <w:r>
        <w:t xml:space="preserve">1.1. 🔗 Соответствует задача: I128-1727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[I128-1727]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[I128-1794] RFID-настройки для меток изданий и читательских карточек</dc:title>
  <dc:creator/>
  <cp:keywords/>
  <dcterms:created xsi:type="dcterms:W3CDTF">2026-09-10T08:02:04Z</dcterms:created>
  <dcterms:modified xsi:type="dcterms:W3CDTF">2026-09-10T08:02:04Z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